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u w:val="single"/>
          <w:lang w:eastAsia="ru-RU"/>
        </w:rPr>
      </w:pPr>
      <w:r w:rsidRPr="00254416">
        <w:rPr>
          <w:rFonts w:ascii="Arial" w:eastAsia="Times New Roman" w:hAnsi="Arial" w:cs="Arial"/>
          <w:b/>
          <w:color w:val="4C4C4C"/>
          <w:spacing w:val="2"/>
          <w:u w:val="single"/>
          <w:lang w:eastAsia="ru-RU"/>
        </w:rPr>
        <w:t>Категории граждан, имеющих право на внеочередное и первоочередное зачисление ребенка в образовательную организацию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Приложение N 1к порядку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образовательной программы дошкольного образования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1. Дети, родители (законные представители) которых имеют право на внеочередное зачисление ребенка в образовательную организацию: дети граждан из подразделений особого риска, а также семей, потерявших кормильца из числа этих граждан; дети граждан, подвергшихся воздействию радиации вследствие катастрофы на Чернобыльской АЭС, указанные в </w:t>
      </w:r>
      <w:hyperlink r:id="rId5" w:history="1">
        <w:r w:rsidRPr="00254416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пунктах 1-4</w:t>
        </w:r>
      </w:hyperlink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, </w:t>
      </w:r>
      <w:hyperlink r:id="rId6" w:history="1">
        <w:r w:rsidRPr="00254416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6</w:t>
        </w:r>
      </w:hyperlink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, </w:t>
      </w:r>
      <w:hyperlink r:id="rId7" w:history="1">
        <w:r w:rsidRPr="00254416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11 статьи 13 Закона Российской Федерации от 15.05.91 N 1244-1 "О социальной защите граждан, подвергшихся воздействию радиации вследствие катастрофы на Чернобыльской АЭС"</w:t>
        </w:r>
      </w:hyperlink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прокуроров;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сотрудников Следственного комитета Российской Федерации;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судей.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2. Дети, родители (законные представители) которых имеют право на первоочередное зачисление ребенка в ОО: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из многодетных семей;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 из неполных семей, находящихся в трудной жизненной ситуации;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дети-инвалиды и дети, один из родителей которых является инвалидом;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дети из семей, </w:t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в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 которой воспитывается ребенок-инвалид;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дети, братья и сестры которых посещают данную ОО на дату поступления ребенка в ОО;</w:t>
      </w:r>
      <w:proofErr w:type="gramEnd"/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дети, родитель (законный представитель) которых занимает штатную должность в </w:t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данной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 ОО;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сотрудника полиции;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ab/>
        <w:t>детям, находящимся (находившимся) на иждивении сотрудника полиции, гражданина Российской Федерации, указанных в абзацах десятом-четырнадцатом настоящего пункта;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сотрудников органов внутренних дел, не являющихся сотрудниками полиции;</w:t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ab/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 дальнейшего прохождения службы в учреждениях и органах;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 xml:space="preserve"> выполнением </w:t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ab/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ab/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  <w:proofErr w:type="gramEnd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ab/>
      </w: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 сотрудников, имеющих специальные звания и проходящих службу учреждениях,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proofErr w:type="gramEnd"/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детям, находящимся (находившимся)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 </w:t>
      </w:r>
      <w:hyperlink r:id="rId8" w:history="1">
        <w:r w:rsidRPr="00254416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пунктах 1-5 части 14 статьи 3 Федерального закона от 30.12.2012 N 283-ФЗ "О социальных гарантиях сотрудникам</w:t>
        </w:r>
        <w:proofErr w:type="gramEnd"/>
        <w:r w:rsidRPr="00254416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 xml:space="preserve">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254416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254416" w:rsidRPr="00254416" w:rsidRDefault="00254416" w:rsidP="00254416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254416" w:rsidRPr="00254416" w:rsidRDefault="00254416" w:rsidP="00254416">
      <w:pPr>
        <w:rPr>
          <w:rFonts w:ascii="Arial" w:eastAsia="Times New Roman" w:hAnsi="Arial" w:cs="Arial"/>
          <w:color w:val="3C3C3C"/>
          <w:spacing w:val="2"/>
          <w:lang w:eastAsia="ru-RU"/>
        </w:rPr>
      </w:pPr>
      <w:bookmarkStart w:id="0" w:name="_GoBack"/>
      <w:bookmarkEnd w:id="0"/>
    </w:p>
    <w:p w:rsidR="00332269" w:rsidRPr="00254416" w:rsidRDefault="00332269">
      <w:pPr>
        <w:rPr>
          <w:rFonts w:ascii="Arial" w:hAnsi="Arial" w:cs="Arial"/>
        </w:rPr>
      </w:pPr>
    </w:p>
    <w:sectPr w:rsidR="00332269" w:rsidRPr="00254416" w:rsidSect="0025441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16"/>
    <w:rsid w:val="00254416"/>
    <w:rsid w:val="003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43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4360" TargetMode="External"/><Relationship Id="rId5" Type="http://schemas.openxmlformats.org/officeDocument/2006/relationships/hyperlink" Target="http://docs.cntd.ru/document/90343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1</cp:revision>
  <dcterms:created xsi:type="dcterms:W3CDTF">2017-06-16T12:35:00Z</dcterms:created>
  <dcterms:modified xsi:type="dcterms:W3CDTF">2017-06-16T12:35:00Z</dcterms:modified>
</cp:coreProperties>
</file>